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89D7" w14:textId="77777777" w:rsidR="00295915" w:rsidRPr="00295915" w:rsidRDefault="00295915" w:rsidP="00295915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</w:pP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ПРАВИЛНИК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О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КРИТЕРИЈУМИМА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И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СТАНДАРДИМА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ЗА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ФИНАНСИРАЊЕ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УСТАНОВЕ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КОЈА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ОБАВЉА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ДЕЛАТНОСТ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ОСНОВНОГ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И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СРЕДЊЕГ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ОБРАЗОВАЊА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И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ВАСПИТАЊА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УЧЕНИКА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СА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СМЕТЊАМА</w:t>
      </w:r>
      <w:proofErr w:type="spellEnd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У </w:t>
      </w:r>
      <w:proofErr w:type="spellStart"/>
      <w:r w:rsidRPr="00295915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РАЗВОЈУ</w:t>
      </w:r>
      <w:proofErr w:type="spellEnd"/>
    </w:p>
    <w:p w14:paraId="7BA57AE2" w14:textId="2624692B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"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Сл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гласник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РС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",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бр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. 73/2016, 45/2018, 49/2023 и 73/2023</w:t>
      </w:r>
    </w:p>
    <w:p w14:paraId="66FDBCE7" w14:textId="77777777" w:rsid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0" w:name="str_1"/>
      <w:bookmarkEnd w:id="0"/>
    </w:p>
    <w:p w14:paraId="16683657" w14:textId="6BD50A6C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r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I</w:t>
      </w:r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УВОДНЕ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ОДРЕДБЕ</w:t>
      </w:r>
      <w:proofErr w:type="spellEnd"/>
    </w:p>
    <w:p w14:paraId="36F957A3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" w:name="clan_1"/>
      <w:bookmarkEnd w:id="1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</w:t>
      </w:r>
    </w:p>
    <w:p w14:paraId="16A3CC4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прописују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критеријуми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стандарди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обављају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делатност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24DF8A65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" w:name="clan_2"/>
      <w:bookmarkEnd w:id="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</w:t>
      </w:r>
    </w:p>
    <w:p w14:paraId="2ECD01A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одредбама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9C66AD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обухвата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додатке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доприносе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терет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послодавца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расходе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BFEADC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обухвата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неопходна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45C763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обрачунава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почетку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2F0EA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Измена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вршити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наступе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елемената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5279EF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" w:name="clan_3"/>
      <w:bookmarkEnd w:id="3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</w:t>
      </w:r>
    </w:p>
    <w:p w14:paraId="091C881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опремљености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укупног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степена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њиховог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69C972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надлежном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-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надлежној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управи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најкасније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септембра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елементима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0601FCA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" w:name="clan_4"/>
      <w:bookmarkEnd w:id="4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4</w:t>
      </w:r>
    </w:p>
    <w:p w14:paraId="62B07A0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елементима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исказује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верификована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месечном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7470D4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предмете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предвиђени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BD449DB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" w:name="str_2"/>
      <w:bookmarkEnd w:id="5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Величина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школе</w:t>
      </w:r>
      <w:proofErr w:type="spellEnd"/>
    </w:p>
    <w:p w14:paraId="4A224F31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6" w:name="clan_5"/>
      <w:bookmarkEnd w:id="6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5</w:t>
      </w:r>
    </w:p>
    <w:p w14:paraId="2144F5B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D939BC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организовати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приграничном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планинском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због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малог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непостојања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путне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мреже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кретати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путничка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возила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удаљености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између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насеља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могуће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рационалан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економичан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организовати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CB74B6" w14:textId="77777777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7" w:name="str_3"/>
      <w:bookmarkEnd w:id="7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II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УТВРЂИВАЊА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ЗАПОСЛЕНИХ</w:t>
      </w:r>
      <w:proofErr w:type="spellEnd"/>
    </w:p>
    <w:p w14:paraId="6249411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8" w:name="clan_6"/>
      <w:bookmarkEnd w:id="8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6</w:t>
      </w:r>
    </w:p>
    <w:p w14:paraId="2F53A49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6DE116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укупног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фонда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предвиђеног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облика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40-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недеље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04E0FA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DBC64B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недеља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предвиђених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календар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F6FDC6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норма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непосредног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16643B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ванредних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похађају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бесплатно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конкурсу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B3F979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6) </w:t>
      </w:r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(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брисана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)</w:t>
      </w:r>
    </w:p>
    <w:p w14:paraId="71A7883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укупан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фонд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подели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недељном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нормом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редовна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недеља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320C82C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9" w:name="clan_7"/>
      <w:bookmarkEnd w:id="9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7</w:t>
      </w:r>
    </w:p>
    <w:p w14:paraId="5BAC09F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верификована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десеторо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манифестују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истовремено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услед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суочава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препрекама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задовољењу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најкомплекснија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предшколски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шесторо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0620B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дванаест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022E9B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ученици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манифестују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истовремено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области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услед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суочава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препрекама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задовољењу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најкомплекснија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шест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66D29D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искључиво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дужем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формира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4E9CEA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првом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циклусу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комбинованом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8AAB2F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Комбиновано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састављено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шест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79F973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Изборни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предмет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целог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формирају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различитих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минималан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изборни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предмет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формирати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различитих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с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минимални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0785C9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мањим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484D74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рехабилитационог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корективног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стимулативног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индивидуално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742E6F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Пружање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додатне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подршке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редовном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породици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индивидуално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CA3E32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припаднике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националних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мањина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двојезично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64E434F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0" w:name="clan_8"/>
      <w:bookmarkEnd w:id="10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8</w:t>
      </w:r>
    </w:p>
    <w:p w14:paraId="4378F60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282691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признавање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другачијег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обраћа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добијања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сагласности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0058FD0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1" w:name="str_4"/>
      <w:bookmarkEnd w:id="11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Директор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помоћник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директора</w:t>
      </w:r>
      <w:proofErr w:type="spellEnd"/>
    </w:p>
    <w:p w14:paraId="606AE1D9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2" w:name="clan_9"/>
      <w:bookmarkEnd w:id="1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9</w:t>
      </w:r>
    </w:p>
    <w:p w14:paraId="7F67200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2441FA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A7F409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EDD51B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39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B94E5A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40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3BCBA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2FFB8A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75BBE59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3" w:name="str_5"/>
      <w:bookmarkEnd w:id="13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Стручни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сарадници</w:t>
      </w:r>
      <w:proofErr w:type="spellEnd"/>
    </w:p>
    <w:p w14:paraId="15A25AD0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4" w:name="clan_10"/>
      <w:bookmarkEnd w:id="14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10</w:t>
      </w:r>
    </w:p>
    <w:p w14:paraId="1082A86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F83D5F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FB3DD9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249A02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D9118E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32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7667D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37A3C82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5" w:name="clan_11"/>
      <w:bookmarkEnd w:id="15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11</w:t>
      </w:r>
    </w:p>
    <w:p w14:paraId="237010C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15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D4196E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8474DF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862CEE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6" w:name="clan_12"/>
      <w:bookmarkEnd w:id="16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12</w:t>
      </w:r>
    </w:p>
    <w:p w14:paraId="5076959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реализује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05536E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девет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реализује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0,0625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0289B4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реализује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0D9DEC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одговарајуће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143D53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44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вежби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изводи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радионици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економији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57EB9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помоћних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пропорционално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повећању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смањењу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вежби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1F6A74C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7" w:name="clan_12a"/>
      <w:bookmarkEnd w:id="17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12а</w:t>
      </w:r>
      <w:proofErr w:type="spellEnd"/>
    </w:p>
    <w:p w14:paraId="4E7CF07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ангажује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засновао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пуним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непуним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временом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A21E79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признаје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1BF387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признатих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пропорционално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повећању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FE6238B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8" w:name="str_6"/>
      <w:bookmarkEnd w:id="18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Други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запослени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школи</w:t>
      </w:r>
      <w:proofErr w:type="spellEnd"/>
    </w:p>
    <w:p w14:paraId="4AEE5E24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9" w:name="clan_13"/>
      <w:bookmarkEnd w:id="19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13</w:t>
      </w:r>
    </w:p>
    <w:p w14:paraId="359E725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секретара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A94E5E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шефа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рачуноводства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самосталног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финансијско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рачуноводственог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дипломираног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економисту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финансијско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рачуноводствене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5D4452D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129E07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E95D69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39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556BED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40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BE32ED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административно-финансијског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0,15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588E2E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0" w:name="clan_14"/>
      <w:bookmarkEnd w:id="20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14</w:t>
      </w:r>
    </w:p>
    <w:p w14:paraId="5F76320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дневно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доручак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ручак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вечера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кувара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60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46A1C8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360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5D4FC5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360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6E0C61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целодневном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продуженим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боравком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360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81CDE5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568B667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1" w:name="clan_15"/>
      <w:bookmarkEnd w:id="21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15</w:t>
      </w:r>
    </w:p>
    <w:p w14:paraId="3CE76E9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2.000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5.000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квадратних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589DAD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5.000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квадратних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49D30F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2.000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квадратних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смањењем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сразмерности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D6D2D4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1 - 3.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06FE98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3.500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05F5C0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1.000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55A4CE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4.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применом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144574B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1-3.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79B63C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F5088B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8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F9994C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6.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применом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01ED1D9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средњег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0,25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машина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инструмената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инсталација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наредно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0,0625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највише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093E88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2" w:name="clan_16"/>
      <w:bookmarkEnd w:id="2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16</w:t>
      </w:r>
    </w:p>
    <w:p w14:paraId="454CDE1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0EFD3D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B9DAEA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450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централним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B41F93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400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D025D7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применом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3EC877C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20%.</w:t>
      </w:r>
    </w:p>
    <w:p w14:paraId="2BA79CB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3" w:name="clan_17"/>
      <w:bookmarkEnd w:id="23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17</w:t>
      </w:r>
    </w:p>
    <w:p w14:paraId="5834757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следећим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случајевима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F8A632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целодневном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целодневне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B0A35E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продуженим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боравком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продуженог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боравка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1C34A1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BFF414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израду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дидактичких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помагала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сензомоторичким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A774B16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медицинског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медицинску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сестру-неговатељицу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медицинског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медицинску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сестру-неговатељицу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D8830D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дужем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0,3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искључиво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дужем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CC62AC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економа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магационера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964E8F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8)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гардероберке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пеглерке-праље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F4B2F0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2587983" w14:textId="77777777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24" w:name="str_7"/>
      <w:bookmarkEnd w:id="24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III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МАТЕРИЈАЛНИХ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ТРОШКОВА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ШКОЛИ</w:t>
      </w:r>
      <w:proofErr w:type="spellEnd"/>
    </w:p>
    <w:p w14:paraId="373A5921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5" w:name="clan_18"/>
      <w:bookmarkEnd w:id="25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18</w:t>
      </w:r>
    </w:p>
    <w:p w14:paraId="547A05D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83F653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целину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физичким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јединицама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Т,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м.м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комад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.).</w:t>
      </w:r>
    </w:p>
    <w:p w14:paraId="631BEEB0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6" w:name="str_8"/>
      <w:bookmarkEnd w:id="26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наставе</w:t>
      </w:r>
      <w:proofErr w:type="spellEnd"/>
    </w:p>
    <w:p w14:paraId="41A0B6BF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7" w:name="clan_19"/>
      <w:bookmarkEnd w:id="27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19</w:t>
      </w:r>
    </w:p>
    <w:p w14:paraId="4D8F8AF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2,5%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прописом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друкчије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6D1F2F4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8" w:name="clan_20"/>
      <w:bookmarkEnd w:id="28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20</w:t>
      </w:r>
    </w:p>
    <w:p w14:paraId="0F62455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средњим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5%,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радионице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7%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80B1E7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бити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већи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захтевају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већа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увећавају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предвиђен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D9D228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10%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Саобраћај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возач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моторних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возила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4042B10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10%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производња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руковалац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механичар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ветеринарски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598ED3B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3)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Здравство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социјална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заштита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зубни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фармацеутски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лабораторијски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575D738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4)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Хемија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неметали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графичарство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37256CD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5)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производња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руковалац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механичар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ветеринарски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техничар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31CD3E6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6)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Машинство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метала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Електротехника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трогодишњи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29E1095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7)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Трговина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угоститељство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туризам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кувар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посластичар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3930CA8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8)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Геодезија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грађевинарство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трогодишњи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1FD5F75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9)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Текстилство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кожарство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6E7F29E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10)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Шумарство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дрвета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);</w:t>
      </w:r>
      <w:proofErr w:type="gramEnd"/>
    </w:p>
    <w:p w14:paraId="1F76BC6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11) 5%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образовни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профили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2926E4F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9" w:name="clan_21"/>
      <w:bookmarkEnd w:id="29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21</w:t>
      </w:r>
    </w:p>
    <w:p w14:paraId="542B4D0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извођење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Саобраћај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бензина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помножене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неопходном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обуку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(2,5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1C37935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извођење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практичне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Пољопривреда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производња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дизел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помножене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неопходном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обуку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(2,5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часу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1B1D0DA3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0" w:name="str_9"/>
      <w:bookmarkEnd w:id="30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електричне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енергије</w:t>
      </w:r>
      <w:proofErr w:type="spellEnd"/>
    </w:p>
    <w:p w14:paraId="44A0D831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1" w:name="clan_22"/>
      <w:bookmarkEnd w:id="31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22</w:t>
      </w:r>
    </w:p>
    <w:p w14:paraId="6992AF8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B65E00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осветљење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500 kWh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E50800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1200 kWh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14B6BD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инсталација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360 kWh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5743FB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200 kWh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7BE177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осветљење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користе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флуоресцентне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уместо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обичних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сијалица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умањују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пута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9630E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увећавају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50%.</w:t>
      </w:r>
    </w:p>
    <w:p w14:paraId="06DFDD00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2" w:name="str_10"/>
      <w:bookmarkEnd w:id="3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воде</w:t>
      </w:r>
      <w:proofErr w:type="spellEnd"/>
    </w:p>
    <w:p w14:paraId="552E07DD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3" w:name="clan_23"/>
      <w:bookmarkEnd w:id="33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23</w:t>
      </w:r>
    </w:p>
    <w:p w14:paraId="61F0925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периоду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52ABA0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прикључени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месну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градску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водоводну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мрежу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пиће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класи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дневно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183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33018C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пару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734646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фискултурном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салом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10%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2. и 3.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FFC03B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базеном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појединачно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базена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учесталости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базену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27E7A3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4" w:name="str_11"/>
      <w:bookmarkEnd w:id="34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грејања</w:t>
      </w:r>
      <w:proofErr w:type="spellEnd"/>
    </w:p>
    <w:p w14:paraId="5FEE35B9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5" w:name="clan_24"/>
      <w:bookmarkEnd w:id="35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24</w:t>
      </w:r>
    </w:p>
    <w:p w14:paraId="508FEE6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дужине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франко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испорука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CBA748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прикључени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месну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топлификациону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мрежу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испоручиоца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8147FC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употребљеног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5780736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нафту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08B9626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12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B00132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18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CECB3C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централним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угаљ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FBA0B5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40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F5138C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9FD25F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угаљ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FA5E9C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B06D6A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60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065B09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огревно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дрво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183373B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0,07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 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8EBAA9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0-10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 </w:t>
      </w: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3FC650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сезона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трајању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4BBC4C3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6" w:name="str_12"/>
      <w:bookmarkEnd w:id="36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школи</w:t>
      </w:r>
      <w:proofErr w:type="spellEnd"/>
    </w:p>
    <w:p w14:paraId="027827D0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7" w:name="clan_25"/>
      <w:bookmarkEnd w:id="37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25</w:t>
      </w:r>
    </w:p>
    <w:p w14:paraId="569C082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делатности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AF2168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457907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E4DE106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(2) 20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соне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киселине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CBE7B3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(3) 30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чишћење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паркета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дрвених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површина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289FD97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(4) 0,02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дезинфекционих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295915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D27992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судова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прибора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јело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руку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кухињи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F8ECF9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0,25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4BE05B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праху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8EDB94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(3) 0,05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дезинфекционих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2E9F8C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(4) 200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4F9497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(5) 500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дистрибуције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A8491BB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(6) 300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задацима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AD79D8E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8" w:name="str_13"/>
      <w:bookmarkEnd w:id="38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изношења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смећа</w:t>
      </w:r>
      <w:proofErr w:type="spellEnd"/>
    </w:p>
    <w:p w14:paraId="1CC43CA3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9" w:name="clan_26"/>
      <w:bookmarkEnd w:id="39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26</w:t>
      </w:r>
    </w:p>
    <w:p w14:paraId="2F56E9D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изношења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смећа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учесталости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пражњења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контејнера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комуналне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организације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изношење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смећа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455D8E3" w14:textId="77777777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40" w:name="str_14"/>
      <w:bookmarkEnd w:id="40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IV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ОСТАЛИХ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ТРОШКОВА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АМОРТИЗАЦИЈЕ</w:t>
      </w:r>
      <w:proofErr w:type="spellEnd"/>
    </w:p>
    <w:p w14:paraId="5C6E5900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1" w:name="str_15"/>
      <w:bookmarkEnd w:id="41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текућег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инвестиционог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одржавања</w:t>
      </w:r>
      <w:proofErr w:type="spellEnd"/>
    </w:p>
    <w:p w14:paraId="10593B5B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2" w:name="clan_27"/>
      <w:bookmarkEnd w:id="4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27</w:t>
      </w:r>
    </w:p>
    <w:p w14:paraId="4A46CA2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инвестиционо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опредељују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старости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18C7226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грађевинских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A806FA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30%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десет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C488BD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50%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11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629DB6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(3) 70%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31-50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ED3A50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(4) 80%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86F2C3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BFF89E1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(1) 20%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5593F0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(2) 40%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BD4A60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ind w:left="1134" w:hanging="14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(3) 70%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7F2E96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инвестиционо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планира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искаже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усаглашавају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предлогом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финансијског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буџетску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CF12CD2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3" w:name="clan_28"/>
      <w:bookmarkEnd w:id="43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28</w:t>
      </w:r>
    </w:p>
    <w:p w14:paraId="4B515FA9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усавршавање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полагање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испита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приправнике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наставнике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сараднике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васпитаче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семинаре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стручну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литературу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др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1,0%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BCFBB7A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4" w:name="str_16"/>
      <w:bookmarkEnd w:id="44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коришћења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градског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земљишта</w:t>
      </w:r>
      <w:proofErr w:type="spellEnd"/>
    </w:p>
    <w:p w14:paraId="3B57EC12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5" w:name="clan_29"/>
      <w:bookmarkEnd w:id="45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29</w:t>
      </w:r>
    </w:p>
    <w:p w14:paraId="3708439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коришћења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градског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земљишта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опредељују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одређеног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заснованих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прописа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3158B30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6" w:name="str_17"/>
      <w:bookmarkEnd w:id="46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Други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</w:p>
    <w:p w14:paraId="7C898507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7" w:name="clan_30"/>
      <w:bookmarkEnd w:id="47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30</w:t>
      </w:r>
    </w:p>
    <w:p w14:paraId="42C1608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осигурања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канцеларијски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материјал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интернет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конекције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ТВ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претплата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провизија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банке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огласи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конкурси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ПТТ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награде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итд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.)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посебно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3%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зараде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FA09547" w14:textId="77777777" w:rsidR="00295915" w:rsidRPr="00295915" w:rsidRDefault="00295915" w:rsidP="0029591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8" w:name="str_18"/>
      <w:bookmarkEnd w:id="48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Амортизација</w:t>
      </w:r>
      <w:proofErr w:type="spellEnd"/>
    </w:p>
    <w:p w14:paraId="1E8B78CC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9" w:name="clan_31"/>
      <w:bookmarkEnd w:id="49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31</w:t>
      </w:r>
    </w:p>
    <w:p w14:paraId="67A5DFD5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обрачунавају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важећим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прописима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стопи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прописаној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основну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188D148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0" w:name="clan_32"/>
      <w:bookmarkEnd w:id="50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32</w:t>
      </w:r>
    </w:p>
    <w:p w14:paraId="58D1AE5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Уговором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утврђена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сваку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умањује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једне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случају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F1B259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кад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оствари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годишњи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сразмерно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нереализованим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садржајима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proofErr w:type="gram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активностима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F7ECD3A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време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штрајка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E941824" w14:textId="77777777" w:rsidR="00295915" w:rsidRPr="00295915" w:rsidRDefault="00295915" w:rsidP="00295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51" w:name="str_19"/>
      <w:bookmarkEnd w:id="51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V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ЗАВРШНЕ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ОДРЕДБЕ</w:t>
      </w:r>
      <w:proofErr w:type="spellEnd"/>
    </w:p>
    <w:p w14:paraId="226EF067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2" w:name="clan_33"/>
      <w:bookmarkEnd w:id="52"/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33</w:t>
      </w:r>
    </w:p>
    <w:p w14:paraId="1509524C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наредног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",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примењује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2016/17.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1A6EDE6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</w:p>
    <w:p w14:paraId="1C01648D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Самостални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измени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br/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критеријумима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стандардима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финансирање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установе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обавља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делатност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средњег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развоју</w:t>
      </w:r>
      <w:proofErr w:type="spellEnd"/>
    </w:p>
    <w:p w14:paraId="7C7B407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("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Сл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гласник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РС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",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бр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. 45/2018)</w:t>
      </w:r>
    </w:p>
    <w:p w14:paraId="1F6463B5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</w:t>
      </w:r>
    </w:p>
    <w:p w14:paraId="6951C7D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осмог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", а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примењује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2018/2019.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16C0F3F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</w:p>
    <w:p w14:paraId="2991A7B3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Самостални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допунама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br/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критеријумима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стандардима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финансирање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установе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обавља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делатност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средњег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развоју</w:t>
      </w:r>
      <w:proofErr w:type="spellEnd"/>
    </w:p>
    <w:p w14:paraId="53DB4044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("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Сл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гласник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РС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",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бр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. 49/2023)</w:t>
      </w:r>
    </w:p>
    <w:p w14:paraId="1D3D4590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4</w:t>
      </w:r>
    </w:p>
    <w:p w14:paraId="52A260C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осмог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".</w:t>
      </w:r>
    </w:p>
    <w:p w14:paraId="3A68A138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 </w:t>
      </w:r>
    </w:p>
    <w:p w14:paraId="5AFDA7C6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Самостални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изменама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br/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Правилника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о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критеријумима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стандардима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финансирање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установе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која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обавља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делатност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основног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средњег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образовања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васпитања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ученика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сметњама</w:t>
      </w:r>
      <w:proofErr w:type="spellEnd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295915">
        <w:rPr>
          <w:rFonts w:ascii="Arial" w:eastAsia="Times New Roman" w:hAnsi="Arial" w:cs="Arial"/>
          <w:b/>
          <w:bCs/>
          <w:i/>
          <w:iCs/>
          <w:color w:val="282828"/>
          <w:kern w:val="0"/>
          <w:sz w:val="24"/>
          <w:szCs w:val="24"/>
          <w14:ligatures w14:val="none"/>
        </w:rPr>
        <w:t>развоју</w:t>
      </w:r>
      <w:proofErr w:type="spellEnd"/>
    </w:p>
    <w:p w14:paraId="501A4D3E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</w:pPr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lastRenderedPageBreak/>
        <w:t>("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Сл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.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гласник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РС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 xml:space="preserve">", </w:t>
      </w:r>
      <w:proofErr w:type="spellStart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бр</w:t>
      </w:r>
      <w:proofErr w:type="spellEnd"/>
      <w:r w:rsidRPr="00295915">
        <w:rPr>
          <w:rFonts w:ascii="Arial" w:eastAsia="Times New Roman" w:hAnsi="Arial" w:cs="Arial"/>
          <w:i/>
          <w:iCs/>
          <w:color w:val="282828"/>
          <w:kern w:val="0"/>
          <w14:ligatures w14:val="none"/>
        </w:rPr>
        <w:t>. 73/2023)</w:t>
      </w:r>
    </w:p>
    <w:p w14:paraId="1C121619" w14:textId="77777777" w:rsidR="00295915" w:rsidRPr="00295915" w:rsidRDefault="00295915" w:rsidP="00295915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proofErr w:type="spellStart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295915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6</w:t>
      </w:r>
    </w:p>
    <w:p w14:paraId="7CE67700" w14:textId="77777777" w:rsidR="00295915" w:rsidRPr="00295915" w:rsidRDefault="00295915" w:rsidP="0029591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наредног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295915">
        <w:rPr>
          <w:rFonts w:ascii="Arial" w:eastAsia="Times New Roman" w:hAnsi="Arial" w:cs="Arial"/>
          <w:color w:val="282828"/>
          <w:kern w:val="0"/>
          <w14:ligatures w14:val="none"/>
        </w:rPr>
        <w:t>".</w:t>
      </w:r>
    </w:p>
    <w:p w14:paraId="6531135D" w14:textId="77777777" w:rsidR="00581427" w:rsidRDefault="00581427"/>
    <w:sectPr w:rsidR="0058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15"/>
    <w:rsid w:val="00295915"/>
    <w:rsid w:val="00581427"/>
    <w:rsid w:val="00586E9B"/>
    <w:rsid w:val="00CA594E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C633"/>
  <w15:chartTrackingRefBased/>
  <w15:docId w15:val="{04C89D5C-75E0-4EFC-8226-BC847894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91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ubtitle-tip">
    <w:name w:val="subtitle-tip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1">
    <w:name w:val="title1"/>
    <w:basedOn w:val="DefaultParagraphFont"/>
    <w:rsid w:val="00295915"/>
  </w:style>
  <w:style w:type="paragraph" w:customStyle="1" w:styleId="subtitle">
    <w:name w:val="subtitle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ropis-status-string">
    <w:name w:val="propis-status-string"/>
    <w:basedOn w:val="DefaultParagraphFont"/>
    <w:rsid w:val="00295915"/>
  </w:style>
  <w:style w:type="paragraph" w:customStyle="1" w:styleId="normalprored">
    <w:name w:val="normalprored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060---pododeljak">
    <w:name w:val="wyq060---pododeljak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110---naslov-clana">
    <w:name w:val="wyq110---naslov-clana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epen">
    <w:name w:val="stepen"/>
    <w:basedOn w:val="DefaultParagraphFont"/>
    <w:rsid w:val="00295915"/>
  </w:style>
  <w:style w:type="paragraph" w:customStyle="1" w:styleId="normaluvuceni">
    <w:name w:val="normal_uvuceni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amostalni">
    <w:name w:val="samostalni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amostalni1">
    <w:name w:val="samostalni1"/>
    <w:basedOn w:val="Normal"/>
    <w:rsid w:val="00295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916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27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4602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  <w:div w:id="271791503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</w:divsChild>
            </w:div>
          </w:divsChild>
        </w:div>
        <w:div w:id="6659398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EFEFEF"/>
            <w:right w:val="single" w:sz="6" w:space="0" w:color="000000"/>
          </w:divBdr>
          <w:divsChild>
            <w:div w:id="16493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8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81679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  <w:div w:id="29071927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</w:divsChild>
                </w:div>
                <w:div w:id="3919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9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12" w:space="11" w:color="9C8F6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3737</Words>
  <Characters>21306</Characters>
  <Application>Microsoft Office Word</Application>
  <DocSecurity>0</DocSecurity>
  <Lines>177</Lines>
  <Paragraphs>49</Paragraphs>
  <ScaleCrop>false</ScaleCrop>
  <Company>UNICEF</Company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Jovic</dc:creator>
  <cp:keywords/>
  <dc:description/>
  <cp:lastModifiedBy>Natasa Jovic</cp:lastModifiedBy>
  <cp:revision>1</cp:revision>
  <dcterms:created xsi:type="dcterms:W3CDTF">2024-09-30T15:21:00Z</dcterms:created>
  <dcterms:modified xsi:type="dcterms:W3CDTF">2024-09-30T15:23:00Z</dcterms:modified>
</cp:coreProperties>
</file>