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0261A" w14:textId="77777777" w:rsidR="00110319" w:rsidRPr="00110319" w:rsidRDefault="00110319" w:rsidP="00110319">
      <w:pPr>
        <w:shd w:val="clear" w:color="auto" w:fill="FFFFFF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</w:pPr>
      <w:proofErr w:type="spellStart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ПРАВИЛНИК</w:t>
      </w:r>
      <w:proofErr w:type="spellEnd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О </w:t>
      </w:r>
      <w:proofErr w:type="spellStart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КРИТЕРИЈУМИМА</w:t>
      </w:r>
      <w:proofErr w:type="spellEnd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И </w:t>
      </w:r>
      <w:proofErr w:type="spellStart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СТАНДАРДИМА</w:t>
      </w:r>
      <w:proofErr w:type="spellEnd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ЗА</w:t>
      </w:r>
      <w:proofErr w:type="spellEnd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ФИНАНСИРАЊЕ</w:t>
      </w:r>
      <w:proofErr w:type="spellEnd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УСТАНОВЕ</w:t>
      </w:r>
      <w:proofErr w:type="spellEnd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КОЈА</w:t>
      </w:r>
      <w:proofErr w:type="spellEnd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ОБАВЉА</w:t>
      </w:r>
      <w:proofErr w:type="spellEnd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ДЕЛАТНОСТ</w:t>
      </w:r>
      <w:proofErr w:type="spellEnd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ОСНОВНОГ</w:t>
      </w:r>
      <w:proofErr w:type="spellEnd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</w:t>
      </w:r>
      <w:proofErr w:type="spellStart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ОБРАЗОВАЊА</w:t>
      </w:r>
      <w:proofErr w:type="spellEnd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 xml:space="preserve"> И </w:t>
      </w:r>
      <w:proofErr w:type="spellStart"/>
      <w:r w:rsidRPr="00110319">
        <w:rPr>
          <w:rFonts w:ascii="Open Sans" w:eastAsia="Times New Roman" w:hAnsi="Open Sans" w:cs="Open Sans"/>
          <w:b/>
          <w:bCs/>
          <w:color w:val="282828"/>
          <w:kern w:val="36"/>
          <w:sz w:val="36"/>
          <w:szCs w:val="36"/>
          <w14:ligatures w14:val="none"/>
        </w:rPr>
        <w:t>ВАСПИТАЊА</w:t>
      </w:r>
      <w:proofErr w:type="spellEnd"/>
    </w:p>
    <w:p w14:paraId="5702A538" w14:textId="77777777" w:rsidR="00110319" w:rsidRPr="00110319" w:rsidRDefault="00110319" w:rsidP="00110319">
      <w:pPr>
        <w:shd w:val="clear" w:color="auto" w:fill="FFFFFF"/>
        <w:spacing w:after="0" w:line="240" w:lineRule="auto"/>
        <w:outlineLvl w:val="0"/>
        <w:rPr>
          <w:rFonts w:ascii="Open Sans" w:eastAsia="Times New Roman" w:hAnsi="Open Sans" w:cs="Open Sans"/>
          <w:b/>
          <w:bCs/>
          <w:color w:val="282828"/>
          <w:kern w:val="36"/>
          <w:sz w:val="21"/>
          <w:szCs w:val="21"/>
          <w14:ligatures w14:val="none"/>
        </w:rPr>
      </w:pPr>
    </w:p>
    <w:p w14:paraId="2D2299CF" w14:textId="1B892931" w:rsidR="00110319" w:rsidRDefault="00110319" w:rsidP="001103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"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Сл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 xml:space="preserve">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гласник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РС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 xml:space="preserve">",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бр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  <w:t>. 72/2023</w:t>
      </w:r>
    </w:p>
    <w:p w14:paraId="206F4F6C" w14:textId="77777777" w:rsidR="00110319" w:rsidRPr="00110319" w:rsidRDefault="00110319" w:rsidP="001103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kern w:val="0"/>
          <w:sz w:val="20"/>
          <w:szCs w:val="20"/>
          <w14:ligatures w14:val="none"/>
        </w:rPr>
      </w:pPr>
    </w:p>
    <w:p w14:paraId="237369C6" w14:textId="56CA17AE" w:rsidR="00110319" w:rsidRPr="00110319" w:rsidRDefault="00110319" w:rsidP="001103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</w:pPr>
      <w:bookmarkStart w:id="0" w:name="str_1"/>
      <w:bookmarkEnd w:id="0"/>
      <w:r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I</w:t>
      </w:r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УВОДНЕ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ОДРЕДБЕ</w:t>
      </w:r>
      <w:proofErr w:type="spellEnd"/>
    </w:p>
    <w:p w14:paraId="1DADA706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" w:name="clan_1"/>
      <w:bookmarkEnd w:id="1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</w:t>
      </w:r>
    </w:p>
    <w:p w14:paraId="29ED5FB5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прописују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критеријуми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стандарди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финансирање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обављају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делатност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-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)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установа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обављају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делатност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одраслих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127D6405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Термини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изложени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граматичком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мушком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роду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подразумевају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природни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мушки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женски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лица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F72CF4F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" w:name="clan_2"/>
      <w:bookmarkEnd w:id="2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</w:t>
      </w:r>
    </w:p>
    <w:p w14:paraId="2287EC15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обезбеђују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одредбама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378A823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обухвата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плате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додатке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социјалне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доприносе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терет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послодавца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обезбеђују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буџета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Републике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Србије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текуће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расходе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материјалне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),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обезбеђују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буџета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јединице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локалне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самоуправе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6D71DA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обрачунава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почетку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сваке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5989E4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Измена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вршити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наступе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промене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неког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елемената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AFDD0A2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" w:name="clan_3"/>
      <w:bookmarkEnd w:id="3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3</w:t>
      </w:r>
    </w:p>
    <w:p w14:paraId="1639967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Утврђивање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врши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величине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опремљености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укупног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степена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њиховог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материјалних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A4E353D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доставља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надлежном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најкасније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16.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септембра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текуће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елементима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утврђивање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октобра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текуће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55D2F1D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" w:name="clan_4"/>
      <w:bookmarkEnd w:id="4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lastRenderedPageBreak/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4</w:t>
      </w:r>
    </w:p>
    <w:p w14:paraId="42E55017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елементима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исказује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припремног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предшколског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ППП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)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верификована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месечном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износу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23E530D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предмете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подела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предвиђена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C050B9D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могу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формирају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изборне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слободне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активности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89B6378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5" w:name="str_2"/>
      <w:bookmarkEnd w:id="5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Величина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школе</w:t>
      </w:r>
      <w:proofErr w:type="spellEnd"/>
    </w:p>
    <w:p w14:paraId="0C43DFD8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6" w:name="clan_5"/>
      <w:bookmarkEnd w:id="6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5</w:t>
      </w:r>
    </w:p>
    <w:p w14:paraId="22EF0E8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организује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16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осмог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разреда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80C24B5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организује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4E9164A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организовати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16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организовати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пограничном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планинском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због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малог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непостојања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путне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мреже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могу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кретати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путничка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возила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моторни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погон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),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због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велике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удаљености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између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насеља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могуће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рационалан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економичан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начин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организовати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16,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D08C2E3" w14:textId="77777777" w:rsidR="00110319" w:rsidRPr="00110319" w:rsidRDefault="00110319" w:rsidP="001103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</w:pPr>
      <w:bookmarkStart w:id="7" w:name="str_3"/>
      <w:bookmarkEnd w:id="7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II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МЕРИЛА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ПОГЛЕДУ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УТВРЂИВАЊА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ЗАПОСЛЕНИХ</w:t>
      </w:r>
      <w:proofErr w:type="spellEnd"/>
    </w:p>
    <w:p w14:paraId="64296C88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8" w:name="clan_6"/>
      <w:bookmarkEnd w:id="8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6</w:t>
      </w:r>
    </w:p>
    <w:p w14:paraId="2435971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6F2269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укупног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фонда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часова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предвиђеног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облика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образовно-васпитног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оквиру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40-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часовне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недеље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2BF7BE0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6FFEE03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недеља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предвиђених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календар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образовно-васпитног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35A8DF6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норма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часова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непосредног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васпитача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404C88F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5)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68EFB5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тако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укупан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фонд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часова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подели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недељном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нормом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часова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редовна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слободне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активности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)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недеља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64E0609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9" w:name="clan_7"/>
      <w:bookmarkEnd w:id="9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lastRenderedPageBreak/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7</w:t>
      </w:r>
    </w:p>
    <w:p w14:paraId="0A4A6CA7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верификована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ППП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формира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чему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деце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бити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већи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26.</w:t>
      </w:r>
    </w:p>
    <w:p w14:paraId="6436ECED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деце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ППП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буде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15,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већи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26,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надлежне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управе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A2C2B06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због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малог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деце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могуће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формирати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ППП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дете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похађања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ППП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прикључи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комбинованом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циклуса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надлежне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управе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B7B405F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формира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најбољем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интересу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надлежне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управе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261696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истог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разреда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E14AB9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истог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разреда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33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надлежне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управе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A07BBA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нивоу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разреда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зависи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укупног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нивоу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разреда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5B638C0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могу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буду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инвалидитетом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AAC041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утврђен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умањује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стиче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остваривањем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индивидуалног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ИОП1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),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стиче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остваривањем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индивидуалног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прилагођеним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стандардима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ИОП2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342637E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Образовно-васпитни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првом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циклусу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организује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комбинованом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93C8140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Комбиновано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састављено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разреда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док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четири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разреда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десет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1373B4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прикључивањем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деце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похађања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ППП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комбинованом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четири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разреда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укупан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деце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прелази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десет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комбинована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EEA1A7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предмете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оквиру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предвиђено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остваривање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поделом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надлежне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управе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изузев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предмете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другачије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предвиђено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607056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припаднике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националних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језику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писму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националне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двојезично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српском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језику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језику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писму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националне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упис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разред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пријави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666172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Програм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14.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уписаних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разред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надлежног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органа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аутономне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покрајине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59326DC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продуженог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боравка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25, а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највише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33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надлежне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управе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9468AC7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продуженог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боравка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надлежне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управе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246F1B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формира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циклусима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а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одраслих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6B4229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полазника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бити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нити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већи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20.</w:t>
      </w:r>
    </w:p>
    <w:p w14:paraId="479FF9A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полазника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комбинованим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формираним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циклуса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буде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највише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15.</w:t>
      </w:r>
    </w:p>
    <w:p w14:paraId="5F38A294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0" w:name="clan_8"/>
      <w:bookmarkEnd w:id="10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8</w:t>
      </w:r>
    </w:p>
    <w:p w14:paraId="1AC1E2BB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величине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врсте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начина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B23E70B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признавање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другачијег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утврђеног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обраћа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надлежној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организационој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јединици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добијања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сагласности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B6352EF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1" w:name="str_4"/>
      <w:bookmarkEnd w:id="11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Директор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помоћник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директора</w:t>
      </w:r>
      <w:proofErr w:type="spellEnd"/>
    </w:p>
    <w:p w14:paraId="3C716EAB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2" w:name="clan_9"/>
      <w:bookmarkEnd w:id="12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9</w:t>
      </w:r>
    </w:p>
    <w:p w14:paraId="66AF79C6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4DF911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32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47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FCE42B3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48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71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6E1A5F7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72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95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9A8E5D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96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F87807D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6C592B93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32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свом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саставу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издвојена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циклуса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чему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сваком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разреду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циклуса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0,2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сваком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таквом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издвојеном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3E9A36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32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свом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саставу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издвојена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циклуса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чему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сваком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разреду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циклуса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0,15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сваком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таквом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издвојеном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52DBF8B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статус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ресурс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увећање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71A0246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16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23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BD61BE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24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FF9836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32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39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231C985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40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помоћника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B0CF6BD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3" w:name="str_5"/>
      <w:bookmarkEnd w:id="13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Стручни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сарадници</w:t>
      </w:r>
      <w:proofErr w:type="spellEnd"/>
    </w:p>
    <w:p w14:paraId="3B62A194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4" w:name="clan_10"/>
      <w:bookmarkEnd w:id="14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10</w:t>
      </w:r>
    </w:p>
    <w:p w14:paraId="51DD7A6A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8AE119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обавља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психолог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зависности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могу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буду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логопед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социјални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радник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дефектолог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андрагог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8E4D87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7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E504F0D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17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27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9F5840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28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36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AD8013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37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44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BB3D687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45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52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D39C55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53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60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C53B12F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61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68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четири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1C11C1C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69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76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4,5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860354F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77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DEA216B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15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A10DA5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16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394241A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32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39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539C8A5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40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4D33B8F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5" w:name="clan_11"/>
      <w:bookmarkEnd w:id="15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11</w:t>
      </w:r>
    </w:p>
    <w:p w14:paraId="56A099B7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24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библиотекара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A35E73B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43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библиотекара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0F4B5E6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44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64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библиотекара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6F30EDF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65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библиотекара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58E647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утврђивање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бибилотекара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примењују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критеријуми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1-4.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2B01E50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6" w:name="clan_12"/>
      <w:bookmarkEnd w:id="16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12</w:t>
      </w:r>
    </w:p>
    <w:p w14:paraId="1987C60C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стекла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статус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обавља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ресурсни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центар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ангажује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запосленог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засновао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пуним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непуним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временом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8C56BD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стекла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статус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признаје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један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24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уређује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8C5DFE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признатих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повећава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пропорционално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повећању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ресурсног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A2B9CD9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7" w:name="str_6"/>
      <w:bookmarkEnd w:id="17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Други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запослени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школи</w:t>
      </w:r>
      <w:proofErr w:type="spellEnd"/>
    </w:p>
    <w:p w14:paraId="762D1B4D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8" w:name="clan_13"/>
      <w:bookmarkEnd w:id="18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13</w:t>
      </w:r>
    </w:p>
    <w:p w14:paraId="3B7D5D85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секретара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3799D9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секретара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B9FA7BB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шефа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рачуноводства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дипломираног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економисту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финансијско-рачуноводствене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6F2B72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шефа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рачуноводства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дипломираног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економисту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финансијско-рачуноводствене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868531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16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23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кадровске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административне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финансијско-рачуноводствене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5496F7A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24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47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кадровске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административне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финансијско-рачуноводствене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D468366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48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67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кадровске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административне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финансијско-рачуноводствене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52B9F1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68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кадровске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административне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финансијско-рачуноводствене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582462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16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23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кадровске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административне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финансијско-рачуноводствене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1CA7DD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24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кадровске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административне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финансијско-рачуноводствене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0499C7B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32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39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кадровске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административне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финансијско-рачуноводствене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0305078F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ШООО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40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кадровске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административне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референта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финансијско-рачуноводствене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2FFA980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19" w:name="clan_14"/>
      <w:bookmarkEnd w:id="19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14</w:t>
      </w:r>
    </w:p>
    <w:p w14:paraId="5516885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домом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припремање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доручак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ручак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вечера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),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180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дневно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кувара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C785CB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домом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сервирање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260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08A021F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поседује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кухињу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припремање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доручак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ручак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ужина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),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кувара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180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доручак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ручак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ужина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19801BBB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сервирање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260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2B49ED0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1-4.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смањује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повећава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начелу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сразмерности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одређен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оброка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463D6F26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0" w:name="clan_15"/>
      <w:bookmarkEnd w:id="20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15</w:t>
      </w:r>
    </w:p>
    <w:p w14:paraId="3DDDD9A0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домара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/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мајстора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изводи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следећи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02F29A4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2000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даљинског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течна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гасовита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пелет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биогориво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топлотне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пумпе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01576C0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2000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чврста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2797F3D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3)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2000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даљинског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течна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гасовита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пелет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биогориво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топлотне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пумпе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A132FAF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2000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чврста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D193553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објекта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опреме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изводи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следећи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2B1F887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2000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даљинског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течна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гасовита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пелет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биогориво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топлотне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пумпе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3C24857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2000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чврста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F5E2404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2000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5000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даљинског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течна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гасовита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топлотне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пумпе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998BBB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2000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5000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пелет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биогориво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1,5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3673F77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5)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2000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5000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чврста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AFA911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6)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5000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даљинског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течна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гасовита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пелет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биогориво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топлотне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пумпе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99D2FE5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7)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5000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чврста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E43266D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пећима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изводи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5126135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16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пећима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течна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гасовита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CBFDD9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12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пећима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чврста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7A501E3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тач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1) и 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применом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начела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сразмерности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одређена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00462A00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1" w:name="clan_16"/>
      <w:bookmarkEnd w:id="21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16</w:t>
      </w:r>
    </w:p>
    <w:p w14:paraId="1EC5EEE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зависности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величине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врсте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начина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A6A2660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запосленог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454F03AC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1) 450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м²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централним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34CAC50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2) 400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м²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пећима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F7B2FD6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тач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1) и 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применом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начела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сразмерности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одређена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23E6F61E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2" w:name="clan_17"/>
      <w:bookmarkEnd w:id="22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17</w:t>
      </w:r>
    </w:p>
    <w:p w14:paraId="6E7CB16A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увећати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следећим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случајевима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40AF2B84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целодневном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целодневне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B25321C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продуженим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боравком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свакој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продуженог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боравка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D0016C3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домом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васпитача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свакој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77638B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организује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дужем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кућном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болничком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лечењу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0,3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кућном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лечењу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болничко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искључиво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дужем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кућном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болничком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лечењу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кућном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лечењу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D69AFE5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5)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додатна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инвалидитетом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ромске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националности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додатна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A8DDCFA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6)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одраслих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андрагошког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6F63352A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7)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свом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саставу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затворени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базен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реализацију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активности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BFB7E00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3" w:name="str_7"/>
      <w:bookmarkEnd w:id="23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Педагошки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асистент</w:t>
      </w:r>
      <w:proofErr w:type="spellEnd"/>
    </w:p>
    <w:p w14:paraId="0A1D95A7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4" w:name="clan_18"/>
      <w:bookmarkEnd w:id="24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18</w:t>
      </w:r>
    </w:p>
    <w:p w14:paraId="2C02DE5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остварити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ангажовање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0519868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инвалидитетом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F4BB73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(1)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била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могућности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додатну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подршку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стране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инвалидитетом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6C0E40A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нема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ангажованог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дефектолога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0F947C6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остварити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ангажовање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инвалидитетом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десет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додатна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ИОП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-у 2, а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мишљења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интерресорне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комисије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препоруке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инклузивно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нивоу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6433F3D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1. и 2.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пружа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подршку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инвалидитетом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пуну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норму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стичу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ИОП-ом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2.</w:t>
      </w:r>
    </w:p>
    <w:p w14:paraId="4CDDC580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пружа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подршку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ромске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националности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додатна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одлуке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колегијума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колегијум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доноси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одлуку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препоруке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инклузивно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нивоу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2EE9E2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пружа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подршку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ромске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националности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један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додатна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47356800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Норма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асистената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тач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1) и 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процентуално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смањује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повећава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ангажовани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начелу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сразмерности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6E3A655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ангажовање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асистената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пут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уводе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институт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4670FF05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сметњама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развоју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инвалидитетом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напред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наведеним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мерилима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погледу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редоследу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ранг-листи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сачињава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укупном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ИОП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-а 2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износа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обезбеђена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буџету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Републике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Србије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намену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7F42B1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пружа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подршку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ромске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националности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додатна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подршка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напред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наведеним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мерилима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погледу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редоследу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ранг-листи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а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износа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обезбеђена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буџету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Републике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Србије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намену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D2728F7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5" w:name="str_8"/>
      <w:bookmarkEnd w:id="25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Андрагошки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асистент</w:t>
      </w:r>
      <w:proofErr w:type="spellEnd"/>
    </w:p>
    <w:p w14:paraId="125B6A5E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6" w:name="clan_19"/>
      <w:bookmarkEnd w:id="26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19</w:t>
      </w:r>
    </w:p>
    <w:p w14:paraId="580C5B8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остварити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ангажовање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андрагошког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формирано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нивоу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неког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циклуса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функционалног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одраслих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D1F6F6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формирана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најмање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ангажовање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андрагошког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пуном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нормом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A00BE5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Норма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андрашког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асистената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ангажованог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процентуално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смањује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начелу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сразмерности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99220CA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остварити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ангажовање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андрагошког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пуном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нормом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издвојеном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Казнено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поправном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заводу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даљем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тексту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: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КПЗ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).</w:t>
      </w:r>
    </w:p>
    <w:p w14:paraId="3600A66C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Норма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андрашког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ангажованог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КПЗ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процентуално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смањује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начелу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сразмерности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1FD4A2F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Министарство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сагласност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сваке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ангажовање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андрагошког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напред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наведеним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мерилима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погледу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D13DBD1" w14:textId="77777777" w:rsidR="00110319" w:rsidRPr="00110319" w:rsidRDefault="00110319" w:rsidP="001103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</w:pPr>
      <w:bookmarkStart w:id="27" w:name="str_9"/>
      <w:bookmarkEnd w:id="27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III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МЕРИЛА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ПОГЛЕДУ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МАТЕРИЈАЛНИХ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ТРОШКОВА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ШКОЛИ</w:t>
      </w:r>
      <w:proofErr w:type="spellEnd"/>
    </w:p>
    <w:p w14:paraId="7DE4CC98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8" w:name="clan_20"/>
      <w:bookmarkEnd w:id="28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20</w:t>
      </w:r>
    </w:p>
    <w:p w14:paraId="4D89E42B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Материјални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зависности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врсте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намене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материјала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E0336B0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Материјални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целину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физичким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јединицама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Т,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м.м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комад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сл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.).</w:t>
      </w:r>
    </w:p>
    <w:p w14:paraId="1C55DB73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Изузетно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сарадњи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јединицом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локалне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самоуправе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материјални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могу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утврдити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зависности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специфичности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увећаном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износу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5%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критеријумима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прописаним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4D098A1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29" w:name="str_10"/>
      <w:bookmarkEnd w:id="29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наставе</w:t>
      </w:r>
      <w:proofErr w:type="spellEnd"/>
    </w:p>
    <w:p w14:paraId="717C27C2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0" w:name="clan_21"/>
      <w:bookmarkEnd w:id="30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21</w:t>
      </w:r>
    </w:p>
    <w:p w14:paraId="430E446C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Материјални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одређују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висини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2,5%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бруто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прописом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друкчије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утврђено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563C252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1" w:name="str_11"/>
      <w:bookmarkEnd w:id="31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електричне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енергије</w:t>
      </w:r>
      <w:proofErr w:type="spellEnd"/>
    </w:p>
    <w:p w14:paraId="2F228A86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2" w:name="clan_22"/>
      <w:bookmarkEnd w:id="32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22</w:t>
      </w:r>
    </w:p>
    <w:p w14:paraId="5B28FC23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електричне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енергије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количине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електричне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енергије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4E5DB32A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осветљење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500 kWh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BAF340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припрему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хране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1200 kWh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0B6C3F0D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покретање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инсталација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360 kWh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2BB79EA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намене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200 kWh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D40D594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осветљење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користи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флуо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лед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сијалице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уместо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обичних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сијалица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електричне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енергије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умањују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пута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B4E8B3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електричне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енергије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увећавају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50%.</w:t>
      </w:r>
    </w:p>
    <w:p w14:paraId="4F3FD84E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3" w:name="str_12"/>
      <w:bookmarkEnd w:id="33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воде</w:t>
      </w:r>
      <w:proofErr w:type="spellEnd"/>
    </w:p>
    <w:p w14:paraId="5F5A16EE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4" w:name="clan_23"/>
      <w:bookmarkEnd w:id="34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23</w:t>
      </w:r>
    </w:p>
    <w:p w14:paraId="1E2E8633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зависности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намене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количине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одређеном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периоду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9DF0EEB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чији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објекти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прикључени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месну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градску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водоводну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мрежу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одржавање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објекта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опреме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пиће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0,5 м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одељењу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групи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дневно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183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D4C36A4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Уколико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пару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количина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увећава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50%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став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FD939B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фискултурном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салом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увећава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количина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10%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2. и 3.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B8849B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базеном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увећава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појединачно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количина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зависно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величине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базена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учесталости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промене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воде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базену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6800343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5" w:name="str_13"/>
      <w:bookmarkEnd w:id="35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грејања</w:t>
      </w:r>
      <w:proofErr w:type="spellEnd"/>
    </w:p>
    <w:p w14:paraId="6809F3D5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6" w:name="clan_24"/>
      <w:bookmarkEnd w:id="36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24</w:t>
      </w:r>
    </w:p>
    <w:p w14:paraId="60DC320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количине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дужине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франко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испорука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A7930B4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чији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објекти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прикључени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месну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топлификациону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мрежу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величине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текуће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испоручиоца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топлотне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енергије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64E5FA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чији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објекти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имају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систем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централног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зависности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врсте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употребљеног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горива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57B76F3D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нафту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3336980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(1) 12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литара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загрева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663346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(2) 18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литара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загрева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6DD681F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сопственим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централним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угаљ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66F042E7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(1) 40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2A43895C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(2) 50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више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BF9686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3)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пећима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угаљ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2A2763C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(1) 50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загрева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42AB443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(2) 60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загрева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5523D5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4)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грејањем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пећима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огревно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дрво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2F071123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(1) 0,07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3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 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загрева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D2934D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(2) 0-10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3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 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роди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70DD271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сезона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трајању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180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F31C1BF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планинском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подручју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оштријим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климатским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увећавају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15%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дужег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трајања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сезоне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повећане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температуре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2E2AA4E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7" w:name="str_14"/>
      <w:bookmarkEnd w:id="37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одржавање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хигијене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школи</w:t>
      </w:r>
      <w:proofErr w:type="spellEnd"/>
    </w:p>
    <w:p w14:paraId="2CAC5E29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8" w:name="clan_25"/>
      <w:bookmarkEnd w:id="38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25</w:t>
      </w:r>
    </w:p>
    <w:p w14:paraId="6BA50CFB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одржавање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количине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материјала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зависно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делатности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текућих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Количина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материјала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5EFDAF7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одржавање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опреме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4DB0113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(1) 50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детерџента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затвореног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769162DD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(2) 20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соне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киселине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затвореног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28AAA1A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(3) 30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чишћење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паркета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дрвених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површина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затвореног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CAC7DFC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(4) 0,02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литра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дезинфекционих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</w:t>
      </w:r>
      <w:r w:rsidRPr="00110319">
        <w:rPr>
          <w:rFonts w:ascii="Arial" w:eastAsia="Times New Roman" w:hAnsi="Arial" w:cs="Arial"/>
          <w:color w:val="282828"/>
          <w:kern w:val="0"/>
          <w:sz w:val="15"/>
          <w:szCs w:val="15"/>
          <w:vertAlign w:val="superscript"/>
          <w14:ligatures w14:val="none"/>
        </w:rPr>
        <w:t>2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 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затвореног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06A24E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одржавање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судова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прибора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јело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руку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кухињи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6315C100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(1) 0,25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литра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детерџента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исхрани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549A011A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(2) 50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детерџента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праху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исхрани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3293610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(3) 0,05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литра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дезинфекционих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исхрани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F0BC1B4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(4) 200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сапуна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исхрани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112F195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(5) 500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сапуна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раднику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одржавању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хигијене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простора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грејања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припреме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дистрибуције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хране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ECA96C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(6) 300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сапуна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раднику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пословима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задацима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D072C3B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39" w:name="str_15"/>
      <w:bookmarkEnd w:id="39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изношења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смећа</w:t>
      </w:r>
      <w:proofErr w:type="spellEnd"/>
    </w:p>
    <w:p w14:paraId="7738A866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0" w:name="clan_26"/>
      <w:bookmarkEnd w:id="40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26</w:t>
      </w:r>
    </w:p>
    <w:p w14:paraId="53A1508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изношења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смећа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одређује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зависно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величине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учесталости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пражњења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контејнера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смеће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услуга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комуналне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организације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врши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изношење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смећа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E9A6404" w14:textId="77777777" w:rsidR="00110319" w:rsidRPr="00110319" w:rsidRDefault="00110319" w:rsidP="001103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</w:pPr>
      <w:bookmarkStart w:id="41" w:name="str_16"/>
      <w:bookmarkEnd w:id="41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IV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МЕРИЛА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ПОГЛЕДУ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ОСТАЛИХ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ТРОШКОВА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АМОРТИЗАЦИЈЕ</w:t>
      </w:r>
      <w:proofErr w:type="spellEnd"/>
    </w:p>
    <w:p w14:paraId="33FBD0A9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2" w:name="str_17"/>
      <w:bookmarkEnd w:id="42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текућег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инвестиционог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одржавања</w:t>
      </w:r>
      <w:proofErr w:type="spellEnd"/>
    </w:p>
    <w:p w14:paraId="5E80A9C0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3" w:name="clan_27"/>
      <w:bookmarkEnd w:id="43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27</w:t>
      </w:r>
    </w:p>
    <w:p w14:paraId="08FD1A1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текуће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инвестиционо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одржавање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опредељују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зависно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старости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износа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70DEE16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грађевинских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објеката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износе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317A590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(1) 30%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предрачуна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грађевине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старе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десет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DB734B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(2) 50%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предрачуна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грађевинске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објекте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старе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30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386F41E1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(3) 70%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предрачуна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грађевинске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објекте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старе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31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50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1F3F1AF3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(4) 80%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предрачуна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грађевинске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објекте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старе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50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2F9975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одржавања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опреме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износе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4C2F03B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(1) 20%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предрачуна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опрему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2AEAF5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(2) 40%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предрачуна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опрему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четири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proofErr w:type="gram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;</w:t>
      </w:r>
      <w:proofErr w:type="gramEnd"/>
    </w:p>
    <w:p w14:paraId="428A76D9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ind w:left="992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 xml:space="preserve">(3) 70%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предрачуна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опрему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преко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осам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4FE4A88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текуће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инвестиционо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одржавање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средстава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планира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свака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програм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Потребе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искаже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усаглашавају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предлогом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финансијског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буџетску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3A7E2C3B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4" w:name="clan_28"/>
      <w:bookmarkEnd w:id="44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28</w:t>
      </w:r>
    </w:p>
    <w:p w14:paraId="1573B1B2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усавршавање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полагања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испита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приправнике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полагање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директора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испита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лиценцу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полагање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испита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секретаре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наставнике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сараднике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васпитаче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семинаре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стручну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литературу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других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испита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услов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обављање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одређених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извршилаца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висини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износа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1,0%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бруто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зараде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274C079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5" w:name="str_18"/>
      <w:bookmarkEnd w:id="45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коришћења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градског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земљишта</w:t>
      </w:r>
      <w:proofErr w:type="spellEnd"/>
    </w:p>
    <w:p w14:paraId="2408AE63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6" w:name="clan_29"/>
      <w:bookmarkEnd w:id="46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29</w:t>
      </w:r>
    </w:p>
    <w:p w14:paraId="7C16C9ED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коришћења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градског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земљишта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опредељују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висини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износа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одређеног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закону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заснованих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прописа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114D919F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7" w:name="str_19"/>
      <w:bookmarkEnd w:id="47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Други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материјални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трошкови</w:t>
      </w:r>
      <w:proofErr w:type="spellEnd"/>
    </w:p>
    <w:p w14:paraId="67D83270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8" w:name="clan_30"/>
      <w:bookmarkEnd w:id="48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30</w:t>
      </w:r>
    </w:p>
    <w:p w14:paraId="6C13DCEF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Материјални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осигурања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канцеларијски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материјал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интернет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конекције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ТВ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претплата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провизија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банке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огласи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конкурси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ПТТ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награде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ученицима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итд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.)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сваку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посебно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висини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износа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3%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бруто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зараде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запослених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510FAC64" w14:textId="77777777" w:rsidR="00110319" w:rsidRPr="00110319" w:rsidRDefault="00110319" w:rsidP="0011031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49" w:name="str_20"/>
      <w:bookmarkEnd w:id="49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Амортизација</w:t>
      </w:r>
      <w:proofErr w:type="spellEnd"/>
    </w:p>
    <w:p w14:paraId="61556400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50" w:name="clan_31"/>
      <w:bookmarkEnd w:id="50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31</w:t>
      </w:r>
    </w:p>
    <w:p w14:paraId="23EA2E84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Трошкови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амортизације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обрачунавају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закону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важећим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прописима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стопи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прописаној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A07419C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51" w:name="clan_32"/>
      <w:bookmarkEnd w:id="51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32</w:t>
      </w:r>
    </w:p>
    <w:p w14:paraId="336CFEB3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Уговором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утврђена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цена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услуге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сваку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умањује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једне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случају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:</w:t>
      </w:r>
    </w:p>
    <w:p w14:paraId="7773EA9F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1)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оствари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годишњи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сразмерно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нереализованим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садржајима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активностима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,</w:t>
      </w:r>
    </w:p>
    <w:p w14:paraId="34FCCE8C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2)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време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штрајка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у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складу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законом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618CA334" w14:textId="77777777" w:rsidR="00110319" w:rsidRPr="00110319" w:rsidRDefault="00110319" w:rsidP="001103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</w:pPr>
      <w:bookmarkStart w:id="52" w:name="str_21"/>
      <w:bookmarkEnd w:id="52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V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ЗАВРШНЕ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:sz w:val="31"/>
          <w:szCs w:val="31"/>
          <w14:ligatures w14:val="none"/>
        </w:rPr>
        <w:t>ОДРЕДБЕ</w:t>
      </w:r>
      <w:proofErr w:type="spellEnd"/>
    </w:p>
    <w:p w14:paraId="6B5DF3A1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53" w:name="clan_33"/>
      <w:bookmarkEnd w:id="53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33</w:t>
      </w:r>
    </w:p>
    <w:p w14:paraId="0E585D5B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lastRenderedPageBreak/>
        <w:t>Даном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почетка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примене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престаје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важи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о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критеријумима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стандардима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финансирање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установе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обавља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делатност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основног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образовања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васпитања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("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Службени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гласник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РС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",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бр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 73/16, 45/18, 106/20 и 115/20).</w:t>
      </w:r>
    </w:p>
    <w:p w14:paraId="6F0214E4" w14:textId="77777777" w:rsidR="00110319" w:rsidRPr="00110319" w:rsidRDefault="00110319" w:rsidP="00110319">
      <w:pPr>
        <w:shd w:val="clear" w:color="auto" w:fill="FFFFFF"/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</w:pPr>
      <w:bookmarkStart w:id="54" w:name="clan_34"/>
      <w:bookmarkEnd w:id="54"/>
      <w:proofErr w:type="spellStart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>Члан</w:t>
      </w:r>
      <w:proofErr w:type="spellEnd"/>
      <w:r w:rsidRPr="00110319">
        <w:rPr>
          <w:rFonts w:ascii="Arial" w:eastAsia="Times New Roman" w:hAnsi="Arial" w:cs="Arial"/>
          <w:b/>
          <w:bCs/>
          <w:color w:val="282828"/>
          <w:kern w:val="0"/>
          <w:sz w:val="24"/>
          <w:szCs w:val="24"/>
          <w14:ligatures w14:val="none"/>
        </w:rPr>
        <w:t xml:space="preserve"> 34</w:t>
      </w:r>
    </w:p>
    <w:p w14:paraId="3DE86ECE" w14:textId="77777777" w:rsidR="00110319" w:rsidRPr="00110319" w:rsidRDefault="00110319" w:rsidP="001103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82828"/>
          <w:kern w:val="0"/>
          <w14:ligatures w14:val="none"/>
        </w:rPr>
      </w:pP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Овај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правилник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ступа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снагу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наредног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објављивања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у "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Службеном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гласнику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Републике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Србије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", а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примењује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школске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2023/2024.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године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,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осим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одредаба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односе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педагошке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почињу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да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примењују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након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почетка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примене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аката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Владе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којима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се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уређују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каталог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радних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места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коефицијенти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обрачун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и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исплату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плата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за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тог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 xml:space="preserve"> </w:t>
      </w:r>
      <w:proofErr w:type="spellStart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асистента</w:t>
      </w:r>
      <w:proofErr w:type="spellEnd"/>
      <w:r w:rsidRPr="00110319">
        <w:rPr>
          <w:rFonts w:ascii="Arial" w:eastAsia="Times New Roman" w:hAnsi="Arial" w:cs="Arial"/>
          <w:color w:val="282828"/>
          <w:kern w:val="0"/>
          <w14:ligatures w14:val="none"/>
        </w:rPr>
        <w:t>.</w:t>
      </w:r>
    </w:p>
    <w:p w14:paraId="2E121173" w14:textId="77777777" w:rsidR="00581427" w:rsidRDefault="00581427"/>
    <w:sectPr w:rsidR="005814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319"/>
    <w:rsid w:val="00110319"/>
    <w:rsid w:val="00581427"/>
    <w:rsid w:val="00586E9B"/>
    <w:rsid w:val="00CA594E"/>
    <w:rsid w:val="00F4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E8FB"/>
  <w15:chartTrackingRefBased/>
  <w15:docId w15:val="{04FF006B-763F-4BF1-AFE1-1F0B159B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0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319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subtitle-tip">
    <w:name w:val="subtitle-tip"/>
    <w:basedOn w:val="Normal"/>
    <w:rsid w:val="0011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tle1">
    <w:name w:val="title1"/>
    <w:basedOn w:val="DefaultParagraphFont"/>
    <w:rsid w:val="00110319"/>
  </w:style>
  <w:style w:type="paragraph" w:customStyle="1" w:styleId="subtitle">
    <w:name w:val="subtitle"/>
    <w:basedOn w:val="Normal"/>
    <w:rsid w:val="0011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propis-status-string">
    <w:name w:val="propis-status-string"/>
    <w:basedOn w:val="DefaultParagraphFont"/>
    <w:rsid w:val="00110319"/>
  </w:style>
  <w:style w:type="paragraph" w:customStyle="1" w:styleId="normalprored">
    <w:name w:val="normalprored"/>
    <w:basedOn w:val="Normal"/>
    <w:rsid w:val="0011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wyq060---pododeljak">
    <w:name w:val="wyq060---pododeljak"/>
    <w:basedOn w:val="Normal"/>
    <w:rsid w:val="0011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lan">
    <w:name w:val="clan"/>
    <w:basedOn w:val="Normal"/>
    <w:rsid w:val="0011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normal0">
    <w:name w:val="normal"/>
    <w:basedOn w:val="Normal"/>
    <w:rsid w:val="0011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wyq110---naslov-clana">
    <w:name w:val="wyq110---naslov-clana"/>
    <w:basedOn w:val="Normal"/>
    <w:rsid w:val="0011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tepen">
    <w:name w:val="stepen"/>
    <w:basedOn w:val="DefaultParagraphFont"/>
    <w:rsid w:val="00110319"/>
  </w:style>
  <w:style w:type="paragraph" w:customStyle="1" w:styleId="normaluvuceni3">
    <w:name w:val="normal_uvuceni3"/>
    <w:basedOn w:val="Normal"/>
    <w:rsid w:val="0011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1050">
          <w:marLeft w:val="0"/>
          <w:marRight w:val="0"/>
          <w:marTop w:val="0"/>
          <w:marBottom w:val="0"/>
          <w:divBdr>
            <w:top w:val="single" w:sz="6" w:space="0" w:color="EFEFEF"/>
            <w:left w:val="none" w:sz="0" w:space="0" w:color="auto"/>
            <w:bottom w:val="single" w:sz="6" w:space="0" w:color="EFEFEF"/>
            <w:right w:val="none" w:sz="0" w:space="0" w:color="auto"/>
          </w:divBdr>
          <w:divsChild>
            <w:div w:id="20679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6900">
                  <w:marLeft w:val="0"/>
                  <w:marRight w:val="0"/>
                  <w:marTop w:val="0"/>
                  <w:marBottom w:val="75"/>
                  <w:divBdr>
                    <w:top w:val="single" w:sz="6" w:space="4" w:color="4CAF50"/>
                    <w:left w:val="single" w:sz="6" w:space="4" w:color="4CAF50"/>
                    <w:bottom w:val="single" w:sz="6" w:space="4" w:color="4CAF50"/>
                    <w:right w:val="single" w:sz="6" w:space="6" w:color="4CAF50"/>
                  </w:divBdr>
                </w:div>
                <w:div w:id="1907296044">
                  <w:marLeft w:val="0"/>
                  <w:marRight w:val="0"/>
                  <w:marTop w:val="0"/>
                  <w:marBottom w:val="75"/>
                  <w:divBdr>
                    <w:top w:val="single" w:sz="6" w:space="4" w:color="4CAF50"/>
                    <w:left w:val="single" w:sz="6" w:space="4" w:color="4CAF50"/>
                    <w:bottom w:val="single" w:sz="6" w:space="4" w:color="4CAF50"/>
                    <w:right w:val="single" w:sz="6" w:space="6" w:color="4CAF50"/>
                  </w:divBdr>
                </w:div>
              </w:divsChild>
            </w:div>
          </w:divsChild>
        </w:div>
        <w:div w:id="96076759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EFEFEF"/>
            <w:right w:val="single" w:sz="6" w:space="0" w:color="000000"/>
          </w:divBdr>
          <w:divsChild>
            <w:div w:id="6311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6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8289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4CAF50"/>
                        <w:left w:val="single" w:sz="6" w:space="4" w:color="4CAF50"/>
                        <w:bottom w:val="single" w:sz="6" w:space="4" w:color="4CAF50"/>
                        <w:right w:val="single" w:sz="6" w:space="6" w:color="4CAF50"/>
                      </w:divBdr>
                    </w:div>
                    <w:div w:id="880091096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4" w:color="4CAF50"/>
                        <w:left w:val="single" w:sz="6" w:space="4" w:color="4CAF50"/>
                        <w:bottom w:val="single" w:sz="6" w:space="4" w:color="4CAF50"/>
                        <w:right w:val="single" w:sz="6" w:space="6" w:color="4CAF50"/>
                      </w:divBdr>
                    </w:div>
                  </w:divsChild>
                </w:div>
                <w:div w:id="18639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0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1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dotted" w:sz="12" w:space="11" w:color="9C8F62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4315</Words>
  <Characters>24601</Characters>
  <Application>Microsoft Office Word</Application>
  <DocSecurity>0</DocSecurity>
  <Lines>205</Lines>
  <Paragraphs>57</Paragraphs>
  <ScaleCrop>false</ScaleCrop>
  <Company>UNICEF</Company>
  <LinksUpToDate>false</LinksUpToDate>
  <CharactersWithSpaces>28859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Jovic</dc:creator>
  <cp:keywords/>
  <dc:description/>
  <cp:lastModifiedBy>Natasa Jovic</cp:lastModifiedBy>
  <cp:revision>1</cp:revision>
  <dcterms:created xsi:type="dcterms:W3CDTF">2024-09-30T15:18:00Z</dcterms:created>
  <dcterms:modified xsi:type="dcterms:W3CDTF">2024-09-30T15:19:00Z</dcterms:modified>
</cp:coreProperties>
</file>